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5" w:lineRule="atLeast"/>
        <w:jc w:val="center"/>
        <w:rPr>
          <w:rFonts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  <w:t>中国毒理学家资格</w:t>
      </w:r>
      <w:r>
        <w:rPr>
          <w:rFonts w:hint="eastAsia"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  <w:t>二次再</w:t>
      </w:r>
      <w:r>
        <w:rPr>
          <w:rFonts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  <w:t>认证</w:t>
      </w:r>
      <w:r>
        <w:rPr>
          <w:rFonts w:hint="eastAsia"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  <w:t>出题</w:t>
      </w:r>
      <w:r>
        <w:rPr>
          <w:rFonts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  <w:t>内容、例题及说明</w:t>
      </w:r>
    </w:p>
    <w:p>
      <w:pPr>
        <w:widowControl/>
        <w:spacing w:after="0" w:line="25" w:lineRule="atLeast"/>
        <w:jc w:val="center"/>
        <w:rPr>
          <w:rFonts w:ascii="Tahoma" w:hAnsi="Tahoma" w:eastAsia="Tahoma" w:cs="Tahoma"/>
          <w:b/>
          <w:bCs/>
          <w:color w:val="000000"/>
          <w:kern w:val="0"/>
          <w:sz w:val="30"/>
          <w:szCs w:val="30"/>
          <w:lang w:bidi="ar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一、资格考试出题目数量：</w:t>
      </w:r>
      <w:r>
        <w:rPr>
          <w:rFonts w:hint="eastAsia" w:ascii="宋体" w:hAnsi="宋体"/>
          <w:sz w:val="24"/>
        </w:rPr>
        <w:t>不少于5题（至少一道为案例分析）；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二、题型：</w:t>
      </w:r>
      <w:r>
        <w:rPr>
          <w:rFonts w:hint="eastAsia" w:ascii="宋体" w:hAnsi="宋体"/>
          <w:sz w:val="24"/>
        </w:rPr>
        <w:t>至少4道选择题（答案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选一），1道问答题，至少涵盖范围里的三部分内容，并请提供答案；可以增加风险评估包括案例分析、OECD指南文件、ICH文件等其他技术性法规的应用、解释的题目，还可以增加关于Tox21，Expo21，Risk21相关新概念的题目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三、范围：</w:t>
      </w:r>
      <w:r>
        <w:rPr>
          <w:rFonts w:hint="eastAsia" w:ascii="宋体" w:hAnsi="宋体"/>
          <w:sz w:val="24"/>
        </w:rPr>
        <w:t>毒理学实验的设计、执行和解释 ；描述毒理学；机制毒理学；风险评估；应用毒理学；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四、主要参考资料：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1.周宗灿：《现代毒理学简明教程》，军事医学科学出版社出版，2012；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《毒理学教程》 （第3版），北京大学医学出版社，2006；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2.“现代毒理学基础与进展”高级研修班讲义，中国毒理学会 （北京）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3.Casarett &amp; Doull’s Toxicology：The Basic Science of Poisons. 6th ed. 中文版；人民卫生出版社，2005 ；  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4.现行国际和中国有关的法规、规范和标准。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五、例题与说明</w:t>
      </w:r>
    </w:p>
    <w:p>
      <w:pPr>
        <w:ind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（一）例题说明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均为最佳选择题。分2 类。</w:t>
      </w:r>
      <w:r>
        <w:rPr>
          <w:szCs w:val="21"/>
        </w:rPr>
        <w:t>A型题, 有A～</w:t>
      </w:r>
      <w:r>
        <w:rPr>
          <w:rFonts w:hint="eastAsia"/>
          <w:szCs w:val="21"/>
          <w:lang w:val="en-US" w:eastAsia="zh-CN"/>
        </w:rPr>
        <w:t>D四</w:t>
      </w:r>
      <w:r>
        <w:rPr>
          <w:szCs w:val="21"/>
        </w:rPr>
        <w:t>个备选答案，答题时从备选答案中选择一个最合适的答案。B型题</w:t>
      </w:r>
      <w:r>
        <w:rPr>
          <w:rFonts w:hint="eastAsia"/>
          <w:szCs w:val="21"/>
        </w:rPr>
        <w:t>，</w:t>
      </w:r>
      <w:r>
        <w:rPr>
          <w:szCs w:val="21"/>
        </w:rPr>
        <w:t>先有A～</w:t>
      </w:r>
      <w:r>
        <w:rPr>
          <w:rFonts w:hint="eastAsia"/>
          <w:szCs w:val="21"/>
          <w:lang w:val="en-US" w:eastAsia="zh-CN"/>
        </w:rPr>
        <w:t>D四</w:t>
      </w:r>
      <w:r>
        <w:rPr>
          <w:szCs w:val="21"/>
        </w:rPr>
        <w:t>个备选答案，后有</w:t>
      </w:r>
      <w:r>
        <w:rPr>
          <w:rFonts w:hint="eastAsia"/>
          <w:szCs w:val="21"/>
        </w:rPr>
        <w:t>2</w:t>
      </w:r>
      <w:r>
        <w:rPr>
          <w:szCs w:val="21"/>
        </w:rPr>
        <w:t>～3道题</w:t>
      </w:r>
      <w:r>
        <w:rPr>
          <w:rFonts w:hint="eastAsia"/>
          <w:szCs w:val="21"/>
        </w:rPr>
        <w:t>（如例题5，按2道题算）</w:t>
      </w:r>
      <w:r>
        <w:rPr>
          <w:szCs w:val="21"/>
        </w:rPr>
        <w:t>，答题时从备选答案中选择一个最合适的答案，答案可以是相同的。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tbl>
      <w:tblPr>
        <w:tblStyle w:val="5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8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  <w:b/>
                <w:szCs w:val="21"/>
              </w:rPr>
              <w:t>（二）例题：</w:t>
            </w:r>
          </w:p>
        </w:tc>
        <w:tc>
          <w:tcPr>
            <w:tcW w:w="4048" w:type="dxa"/>
          </w:tcPr>
          <w:p>
            <w:pPr>
              <w:tabs>
                <w:tab w:val="left" w:pos="1186"/>
              </w:tabs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8" w:type="dxa"/>
          </w:tcPr>
          <w:p>
            <w:pPr>
              <w:pStyle w:val="2"/>
              <w:ind w:left="-2" w:leftChars="-1" w:firstLine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1．毒物动力学中，关于表观分布容积,</w:t>
            </w:r>
            <w:r>
              <w:rPr>
                <w:rFonts w:hint="eastAsia" w:ascii="宋体" w:hAnsi="宋体"/>
                <w:b/>
              </w:rPr>
              <w:t>错误</w:t>
            </w:r>
            <w:r>
              <w:rPr>
                <w:rFonts w:hint="eastAsia" w:ascii="宋体" w:hAnsi="宋体"/>
              </w:rPr>
              <w:t>的是</w:t>
            </w:r>
          </w:p>
          <w:p>
            <w:pPr>
              <w:pStyle w:val="2"/>
              <w:ind w:left="-2" w:leftChars="-1" w:firstLine="0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  <w:szCs w:val="21"/>
              </w:rPr>
              <w:t xml:space="preserve"> 指在体内达到动态平衡时，体内毒物量（D）与血毒物浓度（C</w:t>
            </w:r>
            <w:r>
              <w:rPr>
                <w:rFonts w:hint="eastAsia"/>
                <w:szCs w:val="21"/>
                <w:vertAlign w:val="subscript"/>
              </w:rPr>
              <w:t>0</w:t>
            </w:r>
            <w:r>
              <w:rPr>
                <w:rFonts w:hint="eastAsia"/>
                <w:szCs w:val="21"/>
              </w:rPr>
              <w:t>）的比值估计的一种容积，Vd=D/C</w:t>
            </w:r>
            <w:r>
              <w:rPr>
                <w:rFonts w:hint="eastAsia"/>
                <w:szCs w:val="21"/>
                <w:vertAlign w:val="subscript"/>
              </w:rPr>
              <w:t>0</w:t>
            </w:r>
          </w:p>
          <w:p>
            <w:pPr>
              <w:pStyle w:val="2"/>
              <w:ind w:left="-2" w:leftChars="-1" w:firstLine="0"/>
            </w:pPr>
            <w:r>
              <w:rPr>
                <w:rFonts w:hint="eastAsia"/>
              </w:rPr>
              <w:t>B.单位为L或L/Kg</w:t>
            </w:r>
          </w:p>
          <w:p>
            <w:pPr>
              <w:pStyle w:val="2"/>
              <w:ind w:left="-2" w:leftChars="-1" w:firstLine="0"/>
            </w:pPr>
            <w:r>
              <w:rPr>
                <w:rFonts w:hint="eastAsia"/>
              </w:rPr>
              <w:t>C.</w:t>
            </w:r>
            <w:r>
              <w:rPr>
                <w:rFonts w:hint="eastAsia"/>
                <w:szCs w:val="21"/>
              </w:rPr>
              <w:t xml:space="preserve"> 血毒物浓度越高，Vd越小</w:t>
            </w:r>
          </w:p>
          <w:p>
            <w:pPr>
              <w:pStyle w:val="2"/>
              <w:ind w:left="-2" w:leftChars="-1" w:firstLine="0"/>
              <w:rPr>
                <w:rFonts w:ascii="宋体" w:hAnsi="宋体"/>
              </w:rPr>
            </w:pPr>
            <w:r>
              <w:rPr>
                <w:rFonts w:hint="eastAsia"/>
              </w:rPr>
              <w:t>D.</w:t>
            </w:r>
            <w:r>
              <w:rPr>
                <w:rFonts w:hint="eastAsia"/>
                <w:szCs w:val="21"/>
              </w:rPr>
              <w:t xml:space="preserve"> Vd等于血浆容量,说明毒物与血浆蛋白结合少</w:t>
            </w:r>
          </w:p>
        </w:tc>
        <w:tc>
          <w:tcPr>
            <w:tcW w:w="40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 在红</w:t>
            </w:r>
            <w:r>
              <w:rPr>
                <w:rFonts w:hint="eastAsia"/>
                <w:szCs w:val="21"/>
              </w:rPr>
              <w:t>细胞</w:t>
            </w:r>
            <w:r>
              <w:rPr>
                <w:szCs w:val="21"/>
              </w:rPr>
              <w:t>中的海因(Heinz)小体是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A.  核的碎片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B.  变性的</w:t>
            </w:r>
            <w:r>
              <w:rPr>
                <w:kern w:val="0"/>
                <w:szCs w:val="21"/>
                <w:lang w:val="zh-CN"/>
              </w:rPr>
              <w:t>血红蛋白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C.  铁颗粒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D.  </w:t>
            </w:r>
            <w:r>
              <w:rPr>
                <w:kern w:val="0"/>
                <w:szCs w:val="21"/>
                <w:lang w:val="zh-CN"/>
              </w:rPr>
              <w:t>巨</w:t>
            </w:r>
            <w:r>
              <w:rPr>
                <w:szCs w:val="21"/>
              </w:rPr>
              <w:t>大的</w:t>
            </w:r>
            <w:r>
              <w:rPr>
                <w:kern w:val="0"/>
                <w:szCs w:val="21"/>
                <w:lang w:val="zh-CN"/>
              </w:rPr>
              <w:t>溶酶体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8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化学物的生物转化，</w:t>
            </w:r>
            <w:r>
              <w:rPr>
                <w:szCs w:val="21"/>
              </w:rPr>
              <w:t>由细胞色素P450催化的是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A．单胺氧化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B．黄嘌呤氧化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C．S-氧化</w:t>
            </w:r>
          </w:p>
          <w:p>
            <w:pPr>
              <w:tabs>
                <w:tab w:val="left" w:pos="11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D．醛脱氢</w:t>
            </w:r>
          </w:p>
        </w:tc>
        <w:tc>
          <w:tcPr>
            <w:tcW w:w="4048" w:type="dxa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空斑</w:t>
            </w:r>
            <w:r>
              <w:rPr>
                <w:szCs w:val="21"/>
              </w:rPr>
              <w:t>形成细胞</w:t>
            </w:r>
            <w:r>
              <w:rPr>
                <w:rFonts w:hint="eastAsia"/>
                <w:szCs w:val="21"/>
              </w:rPr>
              <w:t>试</w:t>
            </w:r>
            <w:r>
              <w:rPr>
                <w:szCs w:val="21"/>
              </w:rPr>
              <w:t>验可检测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A．细胞免疫功能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B．体液免疫功能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C．巨噬细胞功能</w:t>
            </w:r>
          </w:p>
          <w:p>
            <w:pPr>
              <w:tabs>
                <w:tab w:val="left" w:pos="574"/>
                <w:tab w:val="left" w:pos="1328"/>
                <w:tab w:val="left" w:pos="6861"/>
                <w:tab w:val="left" w:pos="7346"/>
                <w:tab w:val="left" w:pos="7772"/>
              </w:tabs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D．宿主抵抗力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6" w:type="dxa"/>
            <w:gridSpan w:val="2"/>
          </w:tcPr>
          <w:p>
            <w:pPr>
              <w:tabs>
                <w:tab w:val="left" w:pos="118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问答题：</w:t>
            </w:r>
          </w:p>
          <w:p>
            <w:pPr>
              <w:tabs>
                <w:tab w:val="left" w:pos="118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有机磷农药为什么毒性大?其毒性原理是什么?</w:t>
            </w:r>
          </w:p>
          <w:p>
            <w:pPr>
              <w:tabs>
                <w:tab w:val="left" w:pos="118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答：各品种的毒性可不同，多数属剧毒和高毒类，少数为低毒类。某些品种混合使用时有增毒作用，如马拉硫磷与敌百虫，敌百虫与谷硫磷等混合剂。某些品种可经转化而增毒，如1605氧化后毒性增加，敌百虫在碱性溶液中转化为敌敌畏而毒性更大。有机磷农药 (有机磷酸酯类农药) 在体内与胆碱酯酶形成磷酰化胆碱酯酶，胆碱酯酶活性受抑制，使酶不能起分解乙酰胆碱的作用，致组织中乙酰胆碱过量蓄积，使胆碱能神经过度兴奋，引起毒蕈碱样、烟碱样和中枢神经系统症状。磷酰化胆碱酶酯酶一般约经48小时即"老化"，不易复能。某些酯烃基及芳烃基磷酸酯类化合物尚有迟发性神经毒作用，是由于有机磷农药抑制体内神经病靶酯酶(神经毒性酯酶)，并使之"老化"，而引起迟发性神经病，此毒作用与胆碱酯酶活性无关。</w:t>
            </w:r>
          </w:p>
          <w:p>
            <w:pPr>
              <w:tabs>
                <w:tab w:val="left" w:pos="574"/>
                <w:tab w:val="left" w:pos="1328"/>
                <w:tab w:val="left" w:pos="6861"/>
                <w:tab w:val="left" w:pos="7346"/>
                <w:tab w:val="left" w:pos="7772"/>
              </w:tabs>
              <w:spacing w:line="340" w:lineRule="exact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（三）答案</w:t>
      </w:r>
    </w:p>
    <w:tbl>
      <w:tblPr>
        <w:tblStyle w:val="5"/>
        <w:tblW w:w="6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tabs>
                <w:tab w:val="left" w:pos="-259"/>
                <w:tab w:val="left" w:pos="587"/>
                <w:tab w:val="left" w:pos="4635"/>
              </w:tabs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1-D</w:t>
            </w:r>
          </w:p>
        </w:tc>
        <w:tc>
          <w:tcPr>
            <w:tcW w:w="1704" w:type="dxa"/>
          </w:tcPr>
          <w:p>
            <w:pPr>
              <w:tabs>
                <w:tab w:val="left" w:pos="-259"/>
                <w:tab w:val="left" w:pos="587"/>
                <w:tab w:val="left" w:pos="4635"/>
              </w:tabs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2-C</w:t>
            </w:r>
          </w:p>
        </w:tc>
        <w:tc>
          <w:tcPr>
            <w:tcW w:w="1704" w:type="dxa"/>
          </w:tcPr>
          <w:p>
            <w:pPr>
              <w:tabs>
                <w:tab w:val="left" w:pos="-259"/>
                <w:tab w:val="left" w:pos="587"/>
                <w:tab w:val="left" w:pos="4635"/>
              </w:tabs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3-B</w:t>
            </w:r>
          </w:p>
        </w:tc>
        <w:tc>
          <w:tcPr>
            <w:tcW w:w="1705" w:type="dxa"/>
          </w:tcPr>
          <w:p>
            <w:pPr>
              <w:tabs>
                <w:tab w:val="left" w:pos="-259"/>
                <w:tab w:val="left" w:pos="587"/>
                <w:tab w:val="left" w:pos="4635"/>
              </w:tabs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4-D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目前的资格考试分3部分：A. 毒理学一般原理; B.特殊毒性和靶器官毒理学; C.毒理学各论、化合物和应用毒理学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A </w:t>
            </w:r>
            <w:r>
              <w:rPr>
                <w:rFonts w:hint="eastAsia"/>
                <w:b/>
                <w:szCs w:val="21"/>
              </w:rPr>
              <w:t>部分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B</w:t>
            </w:r>
            <w:r>
              <w:rPr>
                <w:rFonts w:hint="eastAsia"/>
                <w:b/>
                <w:szCs w:val="21"/>
              </w:rPr>
              <w:t xml:space="preserve"> 部分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C</w:t>
            </w:r>
            <w:r>
              <w:rPr>
                <w:rFonts w:hint="eastAsia"/>
                <w:b/>
                <w:szCs w:val="21"/>
              </w:rPr>
              <w:t xml:space="preserve"> 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绪论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化学致癌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临床毒理学概论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毒效学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遗传毒理学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药物毒理学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毒动学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发育毒理学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电离辐射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毒物代谢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靶器官毒理学概论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农药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中毒机制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血液毒效应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金属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毒作用影响因素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免疫毒效应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溶剂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毒理学试验基础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肝毒效应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其它工业毒物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急性和局部毒性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肾毒效应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有毒动植物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慢性毒性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胃肠道毒效应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环境毒理学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危险度评定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呼吸系统毒效应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食品毒理学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管理毒理学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心和血管毒效应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有关技术和进展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皮肤毒效应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神经和行为毒效应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眼和视觉毒效应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生殖毒效应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内分泌毒效应 </w:t>
            </w:r>
          </w:p>
        </w:tc>
        <w:tc>
          <w:tcPr>
            <w:tcW w:w="2840" w:type="dxa"/>
          </w:tcPr>
          <w:p>
            <w:pPr>
              <w:spacing w:line="300" w:lineRule="auto"/>
              <w:rPr>
                <w:szCs w:val="21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TE0ZjdjNWIwNWM2MmE0ODQ5OWM1MWVmMGZiZjAifQ=="/>
  </w:docVars>
  <w:rsids>
    <w:rsidRoot w:val="02F71F77"/>
    <w:rsid w:val="02F7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2023-05-04T02:49:00Z</dcterms:created>
  <dc:creator>铁轶</dc:creator>
  <cp:lastModifiedBy>铁轶</cp:lastModifiedBy>
  <dcterms:modified xsi:type="dcterms:W3CDTF">2023-05-04T02:52:32Z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CF8F71781E504148AAF9060771FBEA25_11</vt:lpwstr>
  </property>
</Properties>
</file>